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F8" w:rsidRDefault="000529F8" w:rsidP="00637DEC">
      <w:pPr>
        <w:spacing w:after="0" w:line="360" w:lineRule="auto"/>
        <w:jc w:val="both"/>
        <w:rPr>
          <w:rFonts w:ascii="Palatino Linotype" w:hAnsi="Palatino Linotype"/>
          <w:b/>
          <w:sz w:val="24"/>
          <w:szCs w:val="24"/>
        </w:rPr>
      </w:pPr>
      <w:r>
        <w:rPr>
          <w:rFonts w:ascii="Palatino Linotype" w:hAnsi="Palatino Linotype"/>
          <w:b/>
          <w:sz w:val="24"/>
          <w:szCs w:val="24"/>
        </w:rPr>
        <w:t>VOTO DISIDENTE QUE FORMULA LA COMISIONADA</w:t>
      </w:r>
      <w:r w:rsidR="00A552E7" w:rsidRPr="00563D0F">
        <w:rPr>
          <w:rFonts w:ascii="Palatino Linotype" w:hAnsi="Palatino Linotype"/>
          <w:b/>
          <w:sz w:val="24"/>
          <w:szCs w:val="24"/>
        </w:rPr>
        <w:t xml:space="preserve"> </w:t>
      </w:r>
      <w:r w:rsidR="00A552E7">
        <w:rPr>
          <w:rFonts w:ascii="Palatino Linotype" w:hAnsi="Palatino Linotype"/>
          <w:b/>
          <w:sz w:val="24"/>
          <w:szCs w:val="24"/>
        </w:rPr>
        <w:t xml:space="preserve">PRESIDENTA </w:t>
      </w:r>
      <w:r w:rsidRPr="00563D0F">
        <w:rPr>
          <w:rFonts w:ascii="Palatino Linotype" w:hAnsi="Palatino Linotype"/>
          <w:b/>
          <w:sz w:val="24"/>
          <w:szCs w:val="24"/>
        </w:rPr>
        <w:t>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w:t>
      </w:r>
      <w:r w:rsidRPr="00F96C04">
        <w:rPr>
          <w:rFonts w:ascii="Palatino Linotype" w:hAnsi="Palatino Linotype"/>
          <w:b/>
          <w:sz w:val="24"/>
          <w:szCs w:val="24"/>
        </w:rPr>
        <w:t xml:space="preserve">EN LA </w:t>
      </w:r>
      <w:r>
        <w:rPr>
          <w:rFonts w:ascii="Palatino Linotype" w:hAnsi="Palatino Linotype"/>
          <w:b/>
          <w:sz w:val="24"/>
          <w:szCs w:val="24"/>
        </w:rPr>
        <w:t>VIGÉSIMA NOVENA</w:t>
      </w:r>
      <w:r w:rsidRPr="00F96C04">
        <w:rPr>
          <w:rFonts w:ascii="Palatino Linotype" w:hAnsi="Palatino Linotype"/>
          <w:b/>
          <w:sz w:val="24"/>
          <w:szCs w:val="24"/>
        </w:rPr>
        <w:t xml:space="preserve"> SESIÓN ORDINARIA DEL PLENO DE FECHA </w:t>
      </w:r>
      <w:r>
        <w:rPr>
          <w:rFonts w:ascii="Palatino Linotype" w:hAnsi="Palatino Linotype"/>
          <w:b/>
          <w:sz w:val="24"/>
          <w:szCs w:val="24"/>
        </w:rPr>
        <w:t>QUINCE DE AGOSTO DE DOS MIL DIECIOCHO</w:t>
      </w:r>
      <w:r w:rsidRPr="00F96C04">
        <w:rPr>
          <w:rFonts w:ascii="Palatino Linotype" w:hAnsi="Palatino Linotype"/>
          <w:b/>
          <w:sz w:val="24"/>
          <w:szCs w:val="24"/>
        </w:rPr>
        <w:t>, EN EL RECURSO DE REVISIÓN 0</w:t>
      </w:r>
      <w:r>
        <w:rPr>
          <w:rFonts w:ascii="Palatino Linotype" w:hAnsi="Palatino Linotype"/>
          <w:b/>
          <w:sz w:val="24"/>
          <w:szCs w:val="24"/>
        </w:rPr>
        <w:t>2339</w:t>
      </w:r>
      <w:r w:rsidRPr="00F96C04">
        <w:rPr>
          <w:rFonts w:ascii="Palatino Linotype" w:hAnsi="Palatino Linotype"/>
          <w:b/>
          <w:sz w:val="24"/>
          <w:szCs w:val="24"/>
        </w:rPr>
        <w:t>/INFOEM/IP/RR/201</w:t>
      </w:r>
      <w:r>
        <w:rPr>
          <w:rFonts w:ascii="Palatino Linotype" w:hAnsi="Palatino Linotype"/>
          <w:b/>
          <w:sz w:val="24"/>
          <w:szCs w:val="24"/>
        </w:rPr>
        <w:t>8.</w:t>
      </w:r>
    </w:p>
    <w:p w:rsidR="000529F8" w:rsidRDefault="000529F8" w:rsidP="00637DEC">
      <w:pPr>
        <w:spacing w:after="0" w:line="360" w:lineRule="auto"/>
        <w:jc w:val="both"/>
        <w:rPr>
          <w:rFonts w:ascii="Palatino Linotype" w:hAnsi="Palatino Linotype"/>
          <w:b/>
          <w:sz w:val="24"/>
          <w:szCs w:val="24"/>
        </w:rPr>
      </w:pPr>
    </w:p>
    <w:p w:rsidR="00081F44" w:rsidRDefault="00081F44" w:rsidP="00637DEC">
      <w:pPr>
        <w:spacing w:after="0" w:line="360" w:lineRule="auto"/>
        <w:jc w:val="both"/>
        <w:rPr>
          <w:rFonts w:ascii="Palatino Linotype" w:hAnsi="Palatino Linotype"/>
          <w:b/>
          <w:sz w:val="24"/>
          <w:szCs w:val="24"/>
        </w:rPr>
      </w:pPr>
    </w:p>
    <w:p w:rsidR="000529F8" w:rsidRDefault="000529F8" w:rsidP="00637DEC">
      <w:pPr>
        <w:spacing w:after="0" w:line="360" w:lineRule="auto"/>
        <w:jc w:val="both"/>
        <w:rPr>
          <w:rFonts w:ascii="Palatino Linotype" w:hAnsi="Palatino Linotype"/>
          <w:sz w:val="24"/>
          <w:szCs w:val="24"/>
        </w:rPr>
      </w:pPr>
      <w:r>
        <w:rPr>
          <w:rFonts w:ascii="Palatino Linotype" w:hAnsi="Palatino Linotype"/>
          <w:sz w:val="24"/>
          <w:szCs w:val="24"/>
        </w:rPr>
        <w:t xml:space="preserve">El presente voto que realiza la suscrita, encuentra fundamento </w:t>
      </w:r>
      <w:r w:rsidRPr="009A256B">
        <w:rPr>
          <w:rFonts w:ascii="Palatino Linotype" w:hAnsi="Palatino Linotype"/>
          <w:sz w:val="24"/>
          <w:szCs w:val="24"/>
        </w:rPr>
        <w:t xml:space="preserve">en lo dispuesto por el </w:t>
      </w:r>
      <w:r w:rsidRPr="00C808C9">
        <w:rPr>
          <w:rFonts w:ascii="Palatino Linotype" w:hAnsi="Palatino Linotype"/>
          <w:sz w:val="24"/>
          <w:szCs w:val="24"/>
        </w:rPr>
        <w:t>artículo 14 fracción XI del Reglamento Interior del Instituto de Transparencia,</w:t>
      </w:r>
      <w:r w:rsidRPr="009A256B">
        <w:rPr>
          <w:rFonts w:ascii="Palatino Linotype" w:hAnsi="Palatino Linotype"/>
          <w:sz w:val="24"/>
          <w:szCs w:val="24"/>
        </w:rPr>
        <w:t xml:space="preserve"> Acceso a la Información Pública y Protección de Datos Personales del Estado </w:t>
      </w:r>
      <w:r>
        <w:rPr>
          <w:rFonts w:ascii="Palatino Linotype" w:hAnsi="Palatino Linotype"/>
          <w:sz w:val="24"/>
          <w:szCs w:val="24"/>
        </w:rPr>
        <w:t>de México y Municipios, en atención a que de acuerdo a las facultades y atribuciones con que cuenta este Órgano Garante, es necesario realizar las siguientes precisiones:</w:t>
      </w:r>
    </w:p>
    <w:p w:rsidR="000529F8" w:rsidRDefault="000529F8" w:rsidP="00637DEC">
      <w:pPr>
        <w:spacing w:after="0" w:line="360" w:lineRule="auto"/>
        <w:jc w:val="both"/>
        <w:rPr>
          <w:rFonts w:ascii="Palatino Linotype" w:hAnsi="Palatino Linotype"/>
          <w:sz w:val="24"/>
          <w:szCs w:val="24"/>
        </w:rPr>
      </w:pPr>
    </w:p>
    <w:p w:rsidR="000529F8" w:rsidRDefault="000529F8" w:rsidP="00637DEC">
      <w:pPr>
        <w:spacing w:after="0" w:line="360" w:lineRule="auto"/>
        <w:jc w:val="both"/>
        <w:rPr>
          <w:rFonts w:ascii="Palatino Linotype" w:hAnsi="Palatino Linotype"/>
          <w:sz w:val="24"/>
          <w:szCs w:val="24"/>
        </w:rPr>
      </w:pPr>
      <w:r w:rsidRPr="00CC15F2">
        <w:rPr>
          <w:rFonts w:ascii="Palatino Linotype" w:hAnsi="Palatino Linotype"/>
          <w:sz w:val="24"/>
          <w:szCs w:val="24"/>
        </w:rPr>
        <w:t xml:space="preserve">Hemos de comenzar </w:t>
      </w:r>
      <w:r w:rsidR="0018688A">
        <w:rPr>
          <w:rFonts w:ascii="Palatino Linotype" w:hAnsi="Palatino Linotype"/>
          <w:sz w:val="24"/>
          <w:szCs w:val="24"/>
        </w:rPr>
        <w:t xml:space="preserve">recordando que el ahora </w:t>
      </w:r>
      <w:r w:rsidR="0018688A">
        <w:rPr>
          <w:rFonts w:ascii="Palatino Linotype" w:hAnsi="Palatino Linotype"/>
          <w:b/>
          <w:sz w:val="24"/>
          <w:szCs w:val="24"/>
        </w:rPr>
        <w:t xml:space="preserve">recurrente </w:t>
      </w:r>
      <w:r w:rsidR="0018688A" w:rsidRPr="0018688A">
        <w:rPr>
          <w:rFonts w:ascii="Palatino Linotype" w:hAnsi="Palatino Linotype"/>
          <w:sz w:val="24"/>
          <w:szCs w:val="24"/>
        </w:rPr>
        <w:t xml:space="preserve">requirió </w:t>
      </w:r>
      <w:r w:rsidR="0018688A">
        <w:rPr>
          <w:rFonts w:ascii="Palatino Linotype" w:hAnsi="Palatino Linotype"/>
          <w:sz w:val="24"/>
          <w:szCs w:val="24"/>
        </w:rPr>
        <w:t xml:space="preserve">del H. Ayuntamiento de Ixtapaluca, saber de cuánto ganan los policías municipales, </w:t>
      </w:r>
      <w:r w:rsidR="00637DEC">
        <w:rPr>
          <w:rFonts w:ascii="Palatino Linotype" w:hAnsi="Palatino Linotype"/>
          <w:sz w:val="24"/>
          <w:szCs w:val="24"/>
        </w:rPr>
        <w:t>atendiendo a su grado policiaco.</w:t>
      </w:r>
      <w:r w:rsidR="00081F44">
        <w:rPr>
          <w:rFonts w:ascii="Palatino Linotype" w:hAnsi="Palatino Linotype"/>
          <w:sz w:val="24"/>
          <w:szCs w:val="24"/>
        </w:rPr>
        <w:t xml:space="preserve"> </w:t>
      </w:r>
      <w:r w:rsidR="0003774C">
        <w:rPr>
          <w:rFonts w:ascii="Palatino Linotype" w:hAnsi="Palatino Linotype"/>
          <w:sz w:val="24"/>
          <w:szCs w:val="24"/>
        </w:rPr>
        <w:t>Ahora bien, como correctamente lo señala el Comisionado Ponent</w:t>
      </w:r>
      <w:bookmarkStart w:id="0" w:name="_GoBack"/>
      <w:bookmarkEnd w:id="0"/>
      <w:r w:rsidR="0003774C">
        <w:rPr>
          <w:rFonts w:ascii="Palatino Linotype" w:hAnsi="Palatino Linotype"/>
          <w:sz w:val="24"/>
          <w:szCs w:val="24"/>
        </w:rPr>
        <w:t xml:space="preserve">e, </w:t>
      </w:r>
      <w:r w:rsidR="00417D6F">
        <w:rPr>
          <w:rFonts w:ascii="Palatino Linotype" w:hAnsi="Palatino Linotype"/>
          <w:sz w:val="24"/>
          <w:szCs w:val="24"/>
        </w:rPr>
        <w:t xml:space="preserve">de las constancias que integran el expediente en el SAIMEX, se advierte que </w:t>
      </w:r>
      <w:r w:rsidR="0003774C">
        <w:rPr>
          <w:rFonts w:ascii="Palatino Linotype" w:hAnsi="Palatino Linotype"/>
          <w:sz w:val="24"/>
          <w:szCs w:val="24"/>
        </w:rPr>
        <w:t xml:space="preserve">el </w:t>
      </w:r>
      <w:r w:rsidR="0003774C">
        <w:rPr>
          <w:rFonts w:ascii="Palatino Linotype" w:hAnsi="Palatino Linotype"/>
          <w:b/>
          <w:sz w:val="24"/>
          <w:szCs w:val="24"/>
        </w:rPr>
        <w:t xml:space="preserve">sujeto obligado </w:t>
      </w:r>
      <w:r w:rsidR="0003774C">
        <w:rPr>
          <w:rFonts w:ascii="Palatino Linotype" w:hAnsi="Palatino Linotype"/>
          <w:sz w:val="24"/>
          <w:szCs w:val="24"/>
        </w:rPr>
        <w:t xml:space="preserve">fue omiso de dar respuesta a la solicitud de información, por lo que el ahora </w:t>
      </w:r>
      <w:r w:rsidR="0003774C">
        <w:rPr>
          <w:rFonts w:ascii="Palatino Linotype" w:hAnsi="Palatino Linotype"/>
          <w:b/>
          <w:sz w:val="24"/>
          <w:szCs w:val="24"/>
        </w:rPr>
        <w:t>recurrente</w:t>
      </w:r>
      <w:r w:rsidR="0003774C">
        <w:rPr>
          <w:rFonts w:ascii="Palatino Linotype" w:hAnsi="Palatino Linotype"/>
          <w:sz w:val="24"/>
          <w:szCs w:val="24"/>
        </w:rPr>
        <w:t xml:space="preserve"> interpuso recurso de revisión que derivó </w:t>
      </w:r>
      <w:r w:rsidR="0003774C">
        <w:rPr>
          <w:rFonts w:ascii="Palatino Linotype" w:hAnsi="Palatino Linotype"/>
          <w:sz w:val="24"/>
          <w:szCs w:val="24"/>
        </w:rPr>
        <w:lastRenderedPageBreak/>
        <w:t>en la emisión de la resolución que nos atañe, haciendo valer como razones y motivos de inconformidad de forma concreta, la falta de respuesta a la solicitud de información.</w:t>
      </w:r>
    </w:p>
    <w:p w:rsidR="00637DEC" w:rsidRDefault="00637DEC" w:rsidP="00637DEC">
      <w:pPr>
        <w:spacing w:after="0" w:line="360" w:lineRule="auto"/>
        <w:jc w:val="both"/>
        <w:rPr>
          <w:rFonts w:ascii="Palatino Linotype" w:hAnsi="Palatino Linotype"/>
          <w:sz w:val="24"/>
          <w:szCs w:val="24"/>
        </w:rPr>
      </w:pPr>
    </w:p>
    <w:p w:rsidR="00417D6F" w:rsidRDefault="00417D6F" w:rsidP="00637DEC">
      <w:pPr>
        <w:spacing w:after="0" w:line="360" w:lineRule="auto"/>
        <w:jc w:val="both"/>
        <w:rPr>
          <w:rFonts w:ascii="Palatino Linotype" w:hAnsi="Palatino Linotype"/>
          <w:sz w:val="24"/>
          <w:szCs w:val="24"/>
        </w:rPr>
      </w:pPr>
      <w:r>
        <w:rPr>
          <w:rFonts w:ascii="Palatino Linotype" w:hAnsi="Palatino Linotype"/>
          <w:sz w:val="24"/>
          <w:szCs w:val="24"/>
        </w:rPr>
        <w:t xml:space="preserve">Derivado de la falta de respuesta por parte del </w:t>
      </w:r>
      <w:r>
        <w:rPr>
          <w:rFonts w:ascii="Palatino Linotype" w:hAnsi="Palatino Linotype"/>
          <w:b/>
          <w:sz w:val="24"/>
          <w:szCs w:val="24"/>
        </w:rPr>
        <w:t xml:space="preserve">sujeto obligado, </w:t>
      </w:r>
      <w:r>
        <w:rPr>
          <w:rFonts w:ascii="Palatino Linotype" w:hAnsi="Palatino Linotype"/>
          <w:sz w:val="24"/>
          <w:szCs w:val="24"/>
        </w:rPr>
        <w:t>así como de la omisión de rendir su informe justificado, el Comisionado Ponente, resolvió en ordenar la entrega de la información peticionada, como se acredita en lo estipulado en su resolutivo SEGUNDO, como se acredita a continuación:</w:t>
      </w:r>
    </w:p>
    <w:p w:rsidR="00417D6F" w:rsidRDefault="00417D6F" w:rsidP="00637DEC">
      <w:pPr>
        <w:spacing w:after="0" w:line="360" w:lineRule="auto"/>
        <w:jc w:val="both"/>
        <w:rPr>
          <w:rFonts w:ascii="Palatino Linotype" w:hAnsi="Palatino Linotype"/>
          <w:sz w:val="24"/>
          <w:szCs w:val="24"/>
        </w:rPr>
      </w:pPr>
    </w:p>
    <w:p w:rsidR="00417D6F" w:rsidRPr="00417D6F" w:rsidRDefault="00417D6F" w:rsidP="00637DEC">
      <w:pPr>
        <w:spacing w:before="240" w:after="240" w:line="360" w:lineRule="auto"/>
        <w:ind w:left="567" w:right="564"/>
        <w:contextualSpacing/>
        <w:jc w:val="both"/>
        <w:rPr>
          <w:rFonts w:ascii="Palatino Linotype" w:hAnsi="Palatino Linotype"/>
          <w:i/>
        </w:rPr>
      </w:pPr>
      <w:r w:rsidRPr="00417D6F">
        <w:rPr>
          <w:rFonts w:ascii="Palatino Linotype" w:hAnsi="Palatino Linotype" w:cs="Arial"/>
          <w:b/>
          <w:i/>
        </w:rPr>
        <w:t xml:space="preserve">Segundo. </w:t>
      </w:r>
      <w:r w:rsidRPr="00417D6F">
        <w:rPr>
          <w:rFonts w:ascii="Palatino Linotype" w:hAnsi="Palatino Linotype" w:cs="Arial"/>
          <w:i/>
        </w:rPr>
        <w:t>Se</w:t>
      </w:r>
      <w:r w:rsidRPr="00417D6F">
        <w:rPr>
          <w:rFonts w:ascii="Palatino Linotype" w:hAnsi="Palatino Linotype" w:cs="Arial"/>
          <w:b/>
          <w:i/>
        </w:rPr>
        <w:t xml:space="preserve"> </w:t>
      </w:r>
      <w:r w:rsidRPr="00417D6F">
        <w:rPr>
          <w:rFonts w:ascii="Palatino Linotype" w:hAnsi="Palatino Linotype"/>
          <w:b/>
          <w:i/>
        </w:rPr>
        <w:t xml:space="preserve">ORDENA </w:t>
      </w:r>
      <w:r w:rsidRPr="00417D6F">
        <w:rPr>
          <w:rFonts w:ascii="Palatino Linotype" w:hAnsi="Palatino Linotype"/>
          <w:i/>
        </w:rPr>
        <w:t xml:space="preserve">al </w:t>
      </w:r>
      <w:r w:rsidRPr="00417D6F">
        <w:rPr>
          <w:rFonts w:ascii="Palatino Linotype" w:hAnsi="Palatino Linotype"/>
          <w:b/>
          <w:i/>
        </w:rPr>
        <w:t>Sujeto Obligado</w:t>
      </w:r>
      <w:r w:rsidRPr="00417D6F">
        <w:rPr>
          <w:rFonts w:ascii="Palatino Linotype" w:hAnsi="Palatino Linotype"/>
          <w:i/>
        </w:rPr>
        <w:t xml:space="preserve"> a que</w:t>
      </w:r>
      <w:r w:rsidRPr="00417D6F">
        <w:rPr>
          <w:rFonts w:ascii="Palatino Linotype" w:hAnsi="Palatino Linotype"/>
          <w:b/>
          <w:i/>
        </w:rPr>
        <w:t xml:space="preserve"> </w:t>
      </w:r>
      <w:r w:rsidRPr="00417D6F">
        <w:rPr>
          <w:rFonts w:ascii="Palatino Linotype" w:hAnsi="Palatino Linotype"/>
          <w:i/>
        </w:rPr>
        <w:t>en términos de los Considerandos Cuarto y Quinto, haga entrega vía SAIMEX, en versión pública, los documentos en donde conste lo siguiente:</w:t>
      </w:r>
    </w:p>
    <w:p w:rsidR="00417D6F" w:rsidRPr="00417D6F" w:rsidRDefault="00417D6F" w:rsidP="00637DEC">
      <w:pPr>
        <w:pStyle w:val="Prrafodelista"/>
        <w:numPr>
          <w:ilvl w:val="0"/>
          <w:numId w:val="3"/>
        </w:numPr>
        <w:spacing w:before="240" w:after="240" w:line="360" w:lineRule="auto"/>
        <w:ind w:left="993" w:right="564" w:hanging="426"/>
        <w:jc w:val="both"/>
        <w:rPr>
          <w:rFonts w:ascii="Palatino Linotype" w:hAnsi="Palatino Linotype" w:cs="Arial"/>
          <w:i/>
        </w:rPr>
      </w:pPr>
      <w:r w:rsidRPr="00417D6F">
        <w:rPr>
          <w:rFonts w:ascii="Palatino Linotype" w:hAnsi="Palatino Linotype"/>
          <w:i/>
        </w:rPr>
        <w:t>El sueldo bruto, sueldo neto, percepciones ordinarias y extraordinarias, así como deducciones y el grado, respecto de los policías municipales de Ixtapaluca, al treinta de mayo de dos mil dieciocho.</w:t>
      </w:r>
    </w:p>
    <w:p w:rsidR="00417D6F" w:rsidRPr="00417D6F" w:rsidRDefault="00417D6F" w:rsidP="00637DEC">
      <w:pPr>
        <w:spacing w:before="240" w:after="240" w:line="360" w:lineRule="auto"/>
        <w:ind w:left="567" w:right="564"/>
        <w:jc w:val="both"/>
        <w:rPr>
          <w:rFonts w:ascii="Palatino Linotype" w:hAnsi="Palatino Linotype" w:cs="Arial"/>
          <w:i/>
        </w:rPr>
      </w:pPr>
      <w:r w:rsidRPr="00417D6F">
        <w:rPr>
          <w:rFonts w:ascii="Palatino Linotype" w:hAnsi="Palatino Linotype"/>
          <w:i/>
        </w:rPr>
        <w:t>Para lo cual,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rsidR="0026288E" w:rsidRPr="0026288E" w:rsidRDefault="00DF667C" w:rsidP="00637DE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Una vez hechas las </w:t>
      </w:r>
      <w:r w:rsidR="00637DEC">
        <w:rPr>
          <w:rFonts w:ascii="Palatino Linotype" w:hAnsi="Palatino Linotype"/>
          <w:sz w:val="24"/>
          <w:szCs w:val="24"/>
        </w:rPr>
        <w:t xml:space="preserve">consideraciones </w:t>
      </w:r>
      <w:r>
        <w:rPr>
          <w:rFonts w:ascii="Palatino Linotype" w:hAnsi="Palatino Linotype"/>
          <w:sz w:val="24"/>
          <w:szCs w:val="24"/>
        </w:rPr>
        <w:t xml:space="preserve">anteriores, se precisa que si bien, </w:t>
      </w:r>
      <w:r w:rsidR="0026288E">
        <w:rPr>
          <w:rFonts w:ascii="Palatino Linotype" w:hAnsi="Palatino Linotype"/>
          <w:sz w:val="24"/>
          <w:szCs w:val="24"/>
        </w:rPr>
        <w:t xml:space="preserve">la Ley de Transparencia y Acceso a la Información Pública del Estado de México y Municipios, establece la obligación a los </w:t>
      </w:r>
      <w:r w:rsidR="0026288E">
        <w:rPr>
          <w:rFonts w:ascii="Palatino Linotype" w:hAnsi="Palatino Linotype"/>
          <w:b/>
          <w:sz w:val="24"/>
          <w:szCs w:val="24"/>
        </w:rPr>
        <w:t xml:space="preserve">sujetos obligados </w:t>
      </w:r>
      <w:r w:rsidR="0026288E">
        <w:rPr>
          <w:rFonts w:ascii="Palatino Linotype" w:hAnsi="Palatino Linotype"/>
          <w:sz w:val="24"/>
          <w:szCs w:val="24"/>
        </w:rPr>
        <w:t xml:space="preserve">de hacer entrega de toda la información que conste en sus archivos derivado que estos la generen, procesen, administren, </w:t>
      </w:r>
      <w:r w:rsidR="007102D6">
        <w:rPr>
          <w:rFonts w:ascii="Palatino Linotype" w:hAnsi="Palatino Linotype"/>
          <w:sz w:val="24"/>
          <w:szCs w:val="24"/>
        </w:rPr>
        <w:t>etc.</w:t>
      </w:r>
      <w:r w:rsidR="0026288E">
        <w:rPr>
          <w:rFonts w:ascii="Palatino Linotype" w:hAnsi="Palatino Linotype"/>
          <w:sz w:val="24"/>
          <w:szCs w:val="24"/>
        </w:rPr>
        <w:t>, como lo establece el artículo 12 de la ley en comento</w:t>
      </w:r>
      <w:r w:rsidR="0026288E">
        <w:rPr>
          <w:rStyle w:val="Refdenotaalpie"/>
          <w:rFonts w:ascii="Palatino Linotype" w:hAnsi="Palatino Linotype"/>
          <w:sz w:val="24"/>
          <w:szCs w:val="24"/>
        </w:rPr>
        <w:footnoteReference w:id="1"/>
      </w:r>
      <w:r w:rsidR="00BD01DE">
        <w:rPr>
          <w:rFonts w:ascii="Palatino Linotype" w:hAnsi="Palatino Linotype"/>
          <w:sz w:val="24"/>
          <w:szCs w:val="24"/>
        </w:rPr>
        <w:t>.</w:t>
      </w:r>
    </w:p>
    <w:p w:rsidR="0026288E" w:rsidRDefault="0026288E" w:rsidP="00637DEC">
      <w:pPr>
        <w:spacing w:after="0" w:line="360" w:lineRule="auto"/>
        <w:jc w:val="both"/>
        <w:rPr>
          <w:rFonts w:ascii="Palatino Linotype" w:hAnsi="Palatino Linotype"/>
          <w:sz w:val="24"/>
          <w:szCs w:val="24"/>
        </w:rPr>
      </w:pPr>
    </w:p>
    <w:p w:rsidR="001F334F" w:rsidRDefault="00BD01DE" w:rsidP="00637DEC">
      <w:pPr>
        <w:spacing w:after="0" w:line="360" w:lineRule="auto"/>
        <w:jc w:val="both"/>
        <w:rPr>
          <w:rFonts w:ascii="Palatino Linotype" w:hAnsi="Palatino Linotype"/>
          <w:sz w:val="24"/>
          <w:szCs w:val="24"/>
        </w:rPr>
      </w:pPr>
      <w:r>
        <w:rPr>
          <w:rFonts w:ascii="Palatino Linotype" w:hAnsi="Palatino Linotype"/>
          <w:sz w:val="24"/>
          <w:szCs w:val="24"/>
        </w:rPr>
        <w:t>En ese sentido, se comparte el sentido de ordenar se atienda la solicitud de información,</w:t>
      </w:r>
      <w:r w:rsidR="001F334F">
        <w:rPr>
          <w:rFonts w:ascii="Palatino Linotype" w:hAnsi="Palatino Linotype"/>
          <w:sz w:val="24"/>
          <w:szCs w:val="24"/>
        </w:rPr>
        <w:t xml:space="preserve"> </w:t>
      </w:r>
      <w:r>
        <w:rPr>
          <w:rFonts w:ascii="Palatino Linotype" w:hAnsi="Palatino Linotype"/>
          <w:sz w:val="24"/>
          <w:szCs w:val="24"/>
        </w:rPr>
        <w:t xml:space="preserve">no obstante </w:t>
      </w:r>
      <w:r w:rsidR="001F334F">
        <w:rPr>
          <w:rFonts w:ascii="Palatino Linotype" w:hAnsi="Palatino Linotype"/>
          <w:sz w:val="24"/>
          <w:szCs w:val="24"/>
        </w:rPr>
        <w:t xml:space="preserve">se considera que </w:t>
      </w:r>
      <w:r>
        <w:rPr>
          <w:rFonts w:ascii="Palatino Linotype" w:hAnsi="Palatino Linotype"/>
          <w:sz w:val="24"/>
          <w:szCs w:val="24"/>
        </w:rPr>
        <w:t xml:space="preserve">el Comisionado Ponente, </w:t>
      </w:r>
      <w:r w:rsidR="001F334F">
        <w:rPr>
          <w:rFonts w:ascii="Palatino Linotype" w:hAnsi="Palatino Linotype"/>
          <w:sz w:val="24"/>
          <w:szCs w:val="24"/>
        </w:rPr>
        <w:t>no atendió a la literalidad de la solicitud, ya que procede a hacer</w:t>
      </w:r>
      <w:r>
        <w:rPr>
          <w:rFonts w:ascii="Palatino Linotype" w:hAnsi="Palatino Linotype"/>
          <w:sz w:val="24"/>
          <w:szCs w:val="24"/>
        </w:rPr>
        <w:t xml:space="preserve"> estudio de la fuente obligacional a cargo del </w:t>
      </w:r>
      <w:r>
        <w:rPr>
          <w:rFonts w:ascii="Palatino Linotype" w:hAnsi="Palatino Linotype"/>
          <w:b/>
          <w:sz w:val="24"/>
          <w:szCs w:val="24"/>
        </w:rPr>
        <w:t>sujeto obligado</w:t>
      </w:r>
      <w:r>
        <w:rPr>
          <w:rFonts w:ascii="Palatino Linotype" w:hAnsi="Palatino Linotype"/>
          <w:sz w:val="24"/>
          <w:szCs w:val="24"/>
        </w:rPr>
        <w:t xml:space="preserve">, </w:t>
      </w:r>
      <w:r w:rsidR="001F334F">
        <w:rPr>
          <w:rFonts w:ascii="Palatino Linotype" w:hAnsi="Palatino Linotype"/>
          <w:sz w:val="24"/>
          <w:szCs w:val="24"/>
        </w:rPr>
        <w:t>en específico por cuanto hace a la nómina de los servidores públicos a cargo del sujeto obligado.</w:t>
      </w:r>
    </w:p>
    <w:p w:rsidR="001F334F" w:rsidRDefault="001F334F" w:rsidP="00637DEC">
      <w:pPr>
        <w:spacing w:after="0" w:line="360" w:lineRule="auto"/>
        <w:jc w:val="both"/>
        <w:rPr>
          <w:rFonts w:ascii="Palatino Linotype" w:hAnsi="Palatino Linotype"/>
          <w:sz w:val="24"/>
          <w:szCs w:val="24"/>
        </w:rPr>
      </w:pPr>
    </w:p>
    <w:p w:rsidR="0003774C" w:rsidRDefault="001F334F" w:rsidP="00637DEC">
      <w:pPr>
        <w:spacing w:after="0" w:line="360" w:lineRule="auto"/>
        <w:jc w:val="both"/>
        <w:rPr>
          <w:rFonts w:ascii="Palatino Linotype" w:hAnsi="Palatino Linotype"/>
          <w:sz w:val="24"/>
          <w:szCs w:val="24"/>
        </w:rPr>
      </w:pPr>
      <w:r>
        <w:rPr>
          <w:rFonts w:ascii="Palatino Linotype" w:hAnsi="Palatino Linotype"/>
          <w:sz w:val="24"/>
          <w:szCs w:val="24"/>
        </w:rPr>
        <w:t xml:space="preserve">Dicho estudio, </w:t>
      </w:r>
      <w:r w:rsidR="00BD01DE">
        <w:rPr>
          <w:rFonts w:ascii="Palatino Linotype" w:hAnsi="Palatino Linotype"/>
          <w:sz w:val="24"/>
          <w:szCs w:val="24"/>
        </w:rPr>
        <w:t xml:space="preserve">parte de que </w:t>
      </w:r>
      <w:r w:rsidR="00DA06A1">
        <w:rPr>
          <w:rFonts w:ascii="Palatino Linotype" w:hAnsi="Palatino Linotype"/>
          <w:sz w:val="24"/>
          <w:szCs w:val="24"/>
        </w:rPr>
        <w:t>conforme al artículo 23 de la Ley de Transparencia local</w:t>
      </w:r>
      <w:r w:rsidR="001D69FF">
        <w:rPr>
          <w:rFonts w:ascii="Palatino Linotype" w:hAnsi="Palatino Linotype"/>
          <w:sz w:val="24"/>
          <w:szCs w:val="24"/>
        </w:rPr>
        <w:t xml:space="preserve">, los </w:t>
      </w:r>
      <w:r w:rsidR="001D69FF">
        <w:rPr>
          <w:rFonts w:ascii="Palatino Linotype" w:hAnsi="Palatino Linotype"/>
          <w:b/>
          <w:sz w:val="24"/>
          <w:szCs w:val="24"/>
        </w:rPr>
        <w:t>sujetos obligados</w:t>
      </w:r>
      <w:r w:rsidR="001D69FF">
        <w:rPr>
          <w:rFonts w:ascii="Palatino Linotype" w:hAnsi="Palatino Linotype"/>
          <w:sz w:val="24"/>
          <w:szCs w:val="24"/>
        </w:rPr>
        <w:t xml:space="preserve"> deben hacer pública toda aquella información relativa a los montos y las personas a quienes entreguen, por cualquier motivo, los recursos públicos, lo que en estricto sentido se comparte.</w:t>
      </w:r>
    </w:p>
    <w:p w:rsidR="00DA06A1" w:rsidRPr="0003774C" w:rsidRDefault="001D69FF" w:rsidP="00637DEC">
      <w:pPr>
        <w:spacing w:after="0" w:line="360" w:lineRule="auto"/>
        <w:jc w:val="both"/>
        <w:rPr>
          <w:rFonts w:ascii="Palatino Linotype" w:hAnsi="Palatino Linotype"/>
          <w:sz w:val="24"/>
          <w:szCs w:val="24"/>
        </w:rPr>
      </w:pPr>
      <w:r>
        <w:rPr>
          <w:rFonts w:ascii="Palatino Linotype" w:hAnsi="Palatino Linotype"/>
          <w:sz w:val="24"/>
          <w:szCs w:val="24"/>
        </w:rPr>
        <w:lastRenderedPageBreak/>
        <w:t>Empero, se difiere atendiendo a la calidad de los servidores públicos que reciben recursos públicos, ello atendiendo a que los Policías Municipales</w:t>
      </w:r>
      <w:r w:rsidR="00AF0402">
        <w:rPr>
          <w:rFonts w:ascii="Palatino Linotype" w:hAnsi="Palatino Linotype"/>
          <w:sz w:val="24"/>
          <w:szCs w:val="24"/>
        </w:rPr>
        <w:t xml:space="preserve"> junto con los Estatales y Federales, en sus distintas denominaciones</w:t>
      </w:r>
      <w:r>
        <w:rPr>
          <w:rFonts w:ascii="Palatino Linotype" w:hAnsi="Palatino Linotype"/>
          <w:sz w:val="24"/>
          <w:szCs w:val="24"/>
        </w:rPr>
        <w:t>, forman parte de quienes se encargan de la seguridad p</w:t>
      </w:r>
      <w:r w:rsidR="00AF0402">
        <w:rPr>
          <w:rFonts w:ascii="Palatino Linotype" w:hAnsi="Palatino Linotype"/>
          <w:sz w:val="24"/>
          <w:szCs w:val="24"/>
        </w:rPr>
        <w:t>ública, la cual tiene como fines el de salvaguardar la integridad y derechos de las personas.</w:t>
      </w:r>
      <w:r w:rsidR="00AF0402">
        <w:rPr>
          <w:rStyle w:val="Refdenotaalpie"/>
          <w:rFonts w:ascii="Palatino Linotype" w:hAnsi="Palatino Linotype"/>
          <w:sz w:val="24"/>
          <w:szCs w:val="24"/>
        </w:rPr>
        <w:footnoteReference w:id="2"/>
      </w:r>
    </w:p>
    <w:p w:rsidR="0003774C" w:rsidRDefault="0003774C" w:rsidP="00637DEC">
      <w:pPr>
        <w:spacing w:after="0" w:line="360" w:lineRule="auto"/>
        <w:jc w:val="both"/>
        <w:rPr>
          <w:rFonts w:ascii="Palatino Linotype" w:hAnsi="Palatino Linotype"/>
          <w:sz w:val="24"/>
          <w:szCs w:val="24"/>
        </w:rPr>
      </w:pPr>
    </w:p>
    <w:p w:rsidR="00174B4A" w:rsidRDefault="00174B4A" w:rsidP="00637DEC">
      <w:pPr>
        <w:spacing w:after="0" w:line="360" w:lineRule="auto"/>
        <w:jc w:val="both"/>
        <w:rPr>
          <w:rFonts w:ascii="Palatino Linotype" w:hAnsi="Palatino Linotype"/>
          <w:sz w:val="24"/>
          <w:szCs w:val="24"/>
        </w:rPr>
      </w:pPr>
      <w:r>
        <w:rPr>
          <w:rFonts w:ascii="Palatino Linotype" w:hAnsi="Palatino Linotype"/>
          <w:sz w:val="24"/>
          <w:szCs w:val="24"/>
        </w:rPr>
        <w:t>No pasa desape</w:t>
      </w:r>
      <w:r w:rsidRPr="00990D10">
        <w:rPr>
          <w:rFonts w:ascii="Palatino Linotype" w:hAnsi="Palatino Linotype"/>
          <w:sz w:val="24"/>
          <w:szCs w:val="24"/>
        </w:rPr>
        <w:t>rcibido que el Comisionado Ponente, precisa que la información que se ordena la entrega</w:t>
      </w:r>
      <w:r w:rsidR="00990D10">
        <w:rPr>
          <w:rFonts w:ascii="Palatino Linotype" w:hAnsi="Palatino Linotype"/>
          <w:sz w:val="24"/>
          <w:szCs w:val="24"/>
        </w:rPr>
        <w:t xml:space="preserve">, debe ser entregada de manera disociada, </w:t>
      </w:r>
      <w:r w:rsidR="00990D10" w:rsidRPr="00990D10">
        <w:rPr>
          <w:rFonts w:ascii="Palatino Linotype" w:hAnsi="Palatino Linotype"/>
          <w:sz w:val="24"/>
          <w:szCs w:val="24"/>
        </w:rPr>
        <w:t>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rsidR="001F334F" w:rsidRDefault="001F334F" w:rsidP="00637DEC">
      <w:pPr>
        <w:spacing w:after="0" w:line="360" w:lineRule="auto"/>
        <w:jc w:val="both"/>
        <w:rPr>
          <w:rFonts w:ascii="Palatino Linotype" w:hAnsi="Palatino Linotype"/>
          <w:sz w:val="24"/>
          <w:szCs w:val="24"/>
        </w:rPr>
      </w:pPr>
    </w:p>
    <w:p w:rsidR="001F334F" w:rsidRDefault="001F334F" w:rsidP="00637DE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Sin embargo, </w:t>
      </w:r>
      <w:r w:rsidRPr="001F334F">
        <w:rPr>
          <w:rFonts w:ascii="Palatino Linotype" w:hAnsi="Palatino Linotype"/>
          <w:sz w:val="24"/>
          <w:szCs w:val="24"/>
        </w:rPr>
        <w:t>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w:t>
      </w:r>
      <w:r>
        <w:rPr>
          <w:rFonts w:ascii="Palatino Linotype" w:hAnsi="Palatino Linotype"/>
          <w:sz w:val="24"/>
          <w:szCs w:val="24"/>
        </w:rPr>
        <w:t xml:space="preserve"> párrafo de la Ley ya analizado.</w:t>
      </w:r>
    </w:p>
    <w:p w:rsidR="001F334F" w:rsidRDefault="001F334F" w:rsidP="00637DEC">
      <w:pPr>
        <w:spacing w:after="0" w:line="360" w:lineRule="auto"/>
        <w:jc w:val="both"/>
        <w:rPr>
          <w:rFonts w:ascii="Palatino Linotype" w:hAnsi="Palatino Linotype"/>
          <w:sz w:val="24"/>
          <w:szCs w:val="24"/>
        </w:rPr>
      </w:pPr>
    </w:p>
    <w:p w:rsidR="00C141DB" w:rsidRDefault="00F15DF4" w:rsidP="00637DEC">
      <w:pPr>
        <w:spacing w:after="0" w:line="360" w:lineRule="auto"/>
        <w:jc w:val="both"/>
        <w:rPr>
          <w:rFonts w:ascii="Palatino Linotype" w:hAnsi="Palatino Linotype"/>
          <w:sz w:val="24"/>
          <w:szCs w:val="24"/>
        </w:rPr>
      </w:pPr>
      <w:r>
        <w:rPr>
          <w:rFonts w:ascii="Palatino Linotype" w:hAnsi="Palatino Linotype"/>
          <w:sz w:val="24"/>
          <w:szCs w:val="24"/>
        </w:rPr>
        <w:t xml:space="preserve">De los señalamientos precisados anteriormente, como ya se estableció, se considera que no se atiende a la literalidad de la solicitud de información, ya que la misma versa en conocer el sueldo bruto y neto, así como las deducciones atendiendo al grado policiaco, por lo que en opinión de la que emite el presente voto, se pudo colmar el derecho de acceso a la información de la </w:t>
      </w:r>
      <w:r>
        <w:rPr>
          <w:rFonts w:ascii="Palatino Linotype" w:hAnsi="Palatino Linotype"/>
          <w:b/>
          <w:sz w:val="24"/>
          <w:szCs w:val="24"/>
        </w:rPr>
        <w:t xml:space="preserve">recurrente, </w:t>
      </w:r>
      <w:r>
        <w:rPr>
          <w:rFonts w:ascii="Palatino Linotype" w:hAnsi="Palatino Linotype"/>
          <w:sz w:val="24"/>
          <w:szCs w:val="24"/>
        </w:rPr>
        <w:t xml:space="preserve">ordenando la entrega del </w:t>
      </w:r>
      <w:r w:rsidR="00FA69C0">
        <w:rPr>
          <w:rFonts w:ascii="Palatino Linotype" w:hAnsi="Palatino Linotype"/>
          <w:sz w:val="24"/>
          <w:szCs w:val="24"/>
        </w:rPr>
        <w:t>tabulador de sueldos</w:t>
      </w:r>
      <w:r w:rsidR="00C141DB">
        <w:rPr>
          <w:rFonts w:ascii="Palatino Linotype" w:hAnsi="Palatino Linotype"/>
          <w:sz w:val="24"/>
          <w:szCs w:val="24"/>
        </w:rPr>
        <w:t>., ya que recordemos las I</w:t>
      </w:r>
      <w:r w:rsidR="00C141DB" w:rsidRPr="00C141DB">
        <w:rPr>
          <w:rFonts w:ascii="Palatino Linotype" w:hAnsi="Palatino Linotype"/>
          <w:sz w:val="24"/>
          <w:szCs w:val="24"/>
        </w:rPr>
        <w:t>nstituciones de Seguridad Pública reciben un tratamiento distinto en cuanto a sus obligaciones en materia de transparencia y rendición de cuentas</w:t>
      </w:r>
      <w:r w:rsidR="00C141DB">
        <w:rPr>
          <w:rFonts w:ascii="Palatino Linotype" w:hAnsi="Palatino Linotype"/>
          <w:sz w:val="24"/>
          <w:szCs w:val="24"/>
        </w:rPr>
        <w:t>.</w:t>
      </w:r>
    </w:p>
    <w:p w:rsidR="00C141DB" w:rsidRDefault="00C141DB" w:rsidP="00637DEC">
      <w:pPr>
        <w:spacing w:after="0" w:line="360" w:lineRule="auto"/>
        <w:jc w:val="both"/>
        <w:rPr>
          <w:rFonts w:ascii="Palatino Linotype" w:hAnsi="Palatino Linotype"/>
          <w:sz w:val="24"/>
          <w:szCs w:val="24"/>
        </w:rPr>
      </w:pPr>
    </w:p>
    <w:p w:rsidR="00C141DB" w:rsidRDefault="00C141DB" w:rsidP="00637DEC">
      <w:pPr>
        <w:spacing w:after="0" w:line="360" w:lineRule="auto"/>
        <w:jc w:val="both"/>
        <w:rPr>
          <w:rFonts w:ascii="Palatino Linotype" w:hAnsi="Palatino Linotype"/>
          <w:sz w:val="24"/>
          <w:szCs w:val="24"/>
        </w:rPr>
      </w:pPr>
      <w:r>
        <w:rPr>
          <w:rFonts w:ascii="Palatino Linotype" w:hAnsi="Palatino Linotype"/>
          <w:sz w:val="24"/>
          <w:szCs w:val="24"/>
        </w:rPr>
        <w:t>P</w:t>
      </w:r>
      <w:r w:rsidRPr="00C141DB">
        <w:rPr>
          <w:rFonts w:ascii="Palatino Linotype" w:hAnsi="Palatino Linotype"/>
          <w:sz w:val="24"/>
          <w:szCs w:val="24"/>
        </w:rPr>
        <w:t xml:space="preserve">or consiguiente, es necesario precisar que el </w:t>
      </w:r>
      <w:r w:rsidRPr="00C141DB">
        <w:rPr>
          <w:rFonts w:ascii="Palatino Linotype" w:hAnsi="Palatino Linotype"/>
          <w:b/>
          <w:sz w:val="24"/>
          <w:szCs w:val="24"/>
        </w:rPr>
        <w:t>sujeto</w:t>
      </w:r>
      <w:r w:rsidRPr="00C141DB">
        <w:rPr>
          <w:rFonts w:ascii="Palatino Linotype" w:hAnsi="Palatino Linotype"/>
          <w:sz w:val="24"/>
          <w:szCs w:val="24"/>
        </w:rPr>
        <w:t xml:space="preserve"> </w:t>
      </w:r>
      <w:r w:rsidRPr="00C141DB">
        <w:rPr>
          <w:rFonts w:ascii="Palatino Linotype" w:hAnsi="Palatino Linotype"/>
          <w:b/>
          <w:sz w:val="24"/>
          <w:szCs w:val="24"/>
        </w:rPr>
        <w:t>obligado</w:t>
      </w:r>
      <w:r w:rsidRPr="00C141DB">
        <w:rPr>
          <w:rFonts w:ascii="Palatino Linotype" w:hAnsi="Palatino Linotype"/>
          <w:sz w:val="24"/>
          <w:szCs w:val="24"/>
        </w:rPr>
        <w:t xml:space="preserve"> puede dar la información en un documento donde conste el total de percepciones de los servidores públicos citados en la solicitud de información, en el cual no puedan asociarse a sus titulares, ni permitir por su estructura, contenido o grado de desagregación, así como la identificación individual de los mismos</w:t>
      </w:r>
      <w:r>
        <w:rPr>
          <w:rFonts w:ascii="Palatino Linotype" w:hAnsi="Palatino Linotype"/>
          <w:sz w:val="24"/>
          <w:szCs w:val="24"/>
        </w:rPr>
        <w:t>.</w:t>
      </w:r>
    </w:p>
    <w:p w:rsidR="00C141DB" w:rsidRDefault="00C141DB" w:rsidP="00637DE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Es por lo anterior, que resulta oportuno observar lo contemplado en </w:t>
      </w:r>
      <w:r w:rsidRPr="00C141DB">
        <w:rPr>
          <w:rFonts w:ascii="Palatino Linotype" w:hAnsi="Palatino Linotype"/>
          <w:sz w:val="24"/>
          <w:szCs w:val="24"/>
        </w:rPr>
        <w:t>los Lineamientos para la Elaboración y Presentación del Informe Mensual Municipal 2018, emitido por el Órgano Superior de Fiscalización del Estado de México (OSFEM), visibles en la página oficial de dicho Órgano, donde se destaca que dentro de los informes mensuales que los Ayuntamientos tienen la obligación de rendir, se tiene contemplado precisamente la presentación de la Información referente al tabulador de sueldos, tal y como se demuestra en la imagen que a continuación se inserta:</w:t>
      </w:r>
    </w:p>
    <w:p w:rsidR="00C141DB" w:rsidRDefault="00C141DB" w:rsidP="00637DEC">
      <w:pPr>
        <w:spacing w:after="0" w:line="360" w:lineRule="auto"/>
        <w:jc w:val="both"/>
        <w:rPr>
          <w:rFonts w:ascii="Palatino Linotype" w:hAnsi="Palatino Linotype"/>
          <w:sz w:val="24"/>
          <w:szCs w:val="24"/>
        </w:rPr>
      </w:pPr>
    </w:p>
    <w:p w:rsidR="00201DA0" w:rsidRPr="00F15DF4" w:rsidRDefault="00201DA0" w:rsidP="00637DEC">
      <w:pPr>
        <w:spacing w:after="0" w:line="360" w:lineRule="auto"/>
        <w:jc w:val="both"/>
        <w:rPr>
          <w:rFonts w:ascii="Palatino Linotype" w:hAnsi="Palatino Linotype"/>
          <w:sz w:val="24"/>
          <w:szCs w:val="24"/>
        </w:rPr>
      </w:pPr>
    </w:p>
    <w:p w:rsidR="001F334F" w:rsidRDefault="00C141DB" w:rsidP="00637DEC">
      <w:pPr>
        <w:spacing w:after="0" w:line="360" w:lineRule="auto"/>
        <w:jc w:val="both"/>
        <w:rPr>
          <w:rFonts w:ascii="Palatino Linotype" w:hAnsi="Palatino Linotype"/>
          <w:sz w:val="24"/>
          <w:szCs w:val="24"/>
        </w:rPr>
      </w:pPr>
      <w:r w:rsidRPr="00B97201">
        <w:rPr>
          <w:rFonts w:ascii="Palatino Linotype" w:hAnsi="Palatino Linotype"/>
          <w:noProof/>
          <w:sz w:val="24"/>
          <w:szCs w:val="24"/>
          <w:lang w:eastAsia="es-MX"/>
        </w:rPr>
        <w:drawing>
          <wp:inline distT="0" distB="0" distL="0" distR="0" wp14:anchorId="465F1CE6" wp14:editId="49E488DC">
            <wp:extent cx="5669280" cy="3008815"/>
            <wp:effectExtent l="190500" t="190500" r="198120" b="1917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3008815"/>
                    </a:xfrm>
                    <a:prstGeom prst="rect">
                      <a:avLst/>
                    </a:prstGeom>
                    <a:noFill/>
                    <a:ln>
                      <a:noFill/>
                    </a:ln>
                    <a:effectLst>
                      <a:outerShdw blurRad="190500" algn="ctr" rotWithShape="0">
                        <a:prstClr val="black">
                          <a:alpha val="70000"/>
                        </a:prstClr>
                      </a:outerShdw>
                    </a:effectLst>
                  </pic:spPr>
                </pic:pic>
              </a:graphicData>
            </a:graphic>
          </wp:inline>
        </w:drawing>
      </w:r>
    </w:p>
    <w:p w:rsidR="001F334F" w:rsidRDefault="001F334F" w:rsidP="00637DEC">
      <w:pPr>
        <w:spacing w:after="0" w:line="360" w:lineRule="auto"/>
        <w:jc w:val="both"/>
        <w:rPr>
          <w:rFonts w:ascii="Palatino Linotype" w:hAnsi="Palatino Linotype"/>
          <w:sz w:val="24"/>
          <w:szCs w:val="24"/>
        </w:rPr>
      </w:pPr>
    </w:p>
    <w:p w:rsidR="007F3EC7" w:rsidRPr="00B97201" w:rsidRDefault="007F3EC7" w:rsidP="00637DEC">
      <w:pPr>
        <w:spacing w:after="0" w:line="360" w:lineRule="auto"/>
        <w:jc w:val="both"/>
        <w:rPr>
          <w:rFonts w:ascii="Palatino Linotype" w:hAnsi="Palatino Linotype"/>
          <w:sz w:val="24"/>
          <w:szCs w:val="24"/>
          <w:lang w:eastAsia="es-MX"/>
        </w:rPr>
      </w:pPr>
      <w:r w:rsidRPr="00B97201">
        <w:rPr>
          <w:rFonts w:ascii="Palatino Linotype" w:hAnsi="Palatino Linotype"/>
          <w:sz w:val="24"/>
          <w:szCs w:val="24"/>
          <w:lang w:eastAsia="es-MX"/>
        </w:rPr>
        <w:lastRenderedPageBreak/>
        <w:t>Robustece lo anterior, lo estipulado en el artículo 98 fracción XV de la Ley del Trabajo de los Servidores Públicos del Estado y Municipios que a la letra señala lo siguiente:</w:t>
      </w:r>
    </w:p>
    <w:p w:rsidR="007F3EC7" w:rsidRDefault="007F3EC7" w:rsidP="00637DEC">
      <w:pPr>
        <w:spacing w:after="0" w:line="360" w:lineRule="auto"/>
        <w:jc w:val="both"/>
        <w:rPr>
          <w:rFonts w:ascii="Palatino Linotype" w:hAnsi="Palatino Linotype"/>
          <w:sz w:val="24"/>
          <w:szCs w:val="24"/>
          <w:lang w:eastAsia="es-MX"/>
        </w:rPr>
      </w:pPr>
    </w:p>
    <w:p w:rsidR="007F3EC7" w:rsidRPr="00B97201" w:rsidRDefault="007F3EC7" w:rsidP="00637DEC">
      <w:pPr>
        <w:spacing w:before="120" w:after="0" w:line="360" w:lineRule="auto"/>
        <w:ind w:left="567" w:right="564"/>
        <w:jc w:val="both"/>
        <w:rPr>
          <w:rFonts w:ascii="Palatino Linotype" w:hAnsi="Palatino Linotype"/>
          <w:i/>
          <w:lang w:eastAsia="es-MX"/>
        </w:rPr>
      </w:pPr>
      <w:r w:rsidRPr="00B97201">
        <w:rPr>
          <w:rFonts w:ascii="Palatino Linotype" w:hAnsi="Palatino Linotype"/>
          <w:b/>
          <w:i/>
          <w:lang w:eastAsia="es-MX"/>
        </w:rPr>
        <w:t>ARTÍCULO 98</w:t>
      </w:r>
      <w:r w:rsidRPr="00B97201">
        <w:rPr>
          <w:rFonts w:ascii="Palatino Linotype" w:hAnsi="Palatino Linotype"/>
          <w:i/>
          <w:lang w:eastAsia="es-MX"/>
        </w:rPr>
        <w:t>. Son obligaciones de las instituciones públicas:</w:t>
      </w:r>
    </w:p>
    <w:p w:rsidR="007F3EC7" w:rsidRPr="00B97201" w:rsidRDefault="007F3EC7" w:rsidP="00637DEC">
      <w:pPr>
        <w:spacing w:before="120" w:after="0" w:line="360" w:lineRule="auto"/>
        <w:ind w:left="567" w:right="564"/>
        <w:jc w:val="both"/>
        <w:rPr>
          <w:rFonts w:ascii="Palatino Linotype" w:hAnsi="Palatino Linotype"/>
          <w:i/>
          <w:lang w:eastAsia="es-MX"/>
        </w:rPr>
      </w:pPr>
      <w:r w:rsidRPr="00B97201">
        <w:rPr>
          <w:rFonts w:ascii="Palatino Linotype" w:hAnsi="Palatino Linotype"/>
          <w:i/>
          <w:lang w:eastAsia="es-MX"/>
        </w:rPr>
        <w:t>(…)</w:t>
      </w:r>
    </w:p>
    <w:p w:rsidR="007F3EC7" w:rsidRPr="00B97201" w:rsidRDefault="007F3EC7" w:rsidP="00637DEC">
      <w:pPr>
        <w:spacing w:before="120" w:after="0" w:line="360" w:lineRule="auto"/>
        <w:ind w:left="567" w:right="564"/>
        <w:jc w:val="both"/>
        <w:rPr>
          <w:rFonts w:ascii="Palatino Linotype" w:hAnsi="Palatino Linotype"/>
          <w:i/>
          <w:lang w:eastAsia="es-MX"/>
        </w:rPr>
      </w:pPr>
      <w:r w:rsidRPr="00B97201">
        <w:rPr>
          <w:rFonts w:ascii="Palatino Linotype" w:hAnsi="Palatino Linotype"/>
          <w:b/>
          <w:i/>
          <w:lang w:eastAsia="es-MX"/>
        </w:rPr>
        <w:t>XV.</w:t>
      </w:r>
      <w:r w:rsidRPr="00B97201">
        <w:rPr>
          <w:rFonts w:ascii="Palatino Linotype" w:hAnsi="Palatino Linotype"/>
          <w:i/>
          <w:lang w:eastAsia="es-MX"/>
        </w:rPr>
        <w:t xml:space="preserve"> Elaborar un catálogo general de puestos y un </w:t>
      </w:r>
      <w:r w:rsidRPr="00B97201">
        <w:rPr>
          <w:rFonts w:ascii="Palatino Linotype" w:hAnsi="Palatino Linotype"/>
          <w:i/>
          <w:u w:val="single"/>
          <w:lang w:eastAsia="es-MX"/>
        </w:rPr>
        <w:t>tabulador anual de remuneraciones</w:t>
      </w:r>
      <w:r w:rsidRPr="00B97201">
        <w:rPr>
          <w:rFonts w:ascii="Palatino Linotype" w:hAnsi="Palatino Linotype"/>
          <w:i/>
          <w:lang w:eastAsia="es-MX"/>
        </w:rPr>
        <w:t>,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rsidR="007F3EC7" w:rsidRDefault="007F3EC7" w:rsidP="00637DEC">
      <w:pPr>
        <w:spacing w:after="0" w:line="360" w:lineRule="auto"/>
        <w:jc w:val="both"/>
        <w:rPr>
          <w:rFonts w:ascii="Palatino Linotype" w:hAnsi="Palatino Linotype"/>
          <w:sz w:val="24"/>
          <w:szCs w:val="24"/>
          <w:lang w:eastAsia="es-MX"/>
        </w:rPr>
      </w:pPr>
    </w:p>
    <w:p w:rsidR="00201DA0" w:rsidRPr="00B97201" w:rsidRDefault="00201DA0" w:rsidP="00637DEC">
      <w:pPr>
        <w:spacing w:after="0" w:line="360" w:lineRule="auto"/>
        <w:jc w:val="both"/>
        <w:rPr>
          <w:rFonts w:ascii="Palatino Linotype" w:hAnsi="Palatino Linotype"/>
          <w:sz w:val="24"/>
          <w:szCs w:val="24"/>
          <w:lang w:eastAsia="es-MX"/>
        </w:rPr>
      </w:pPr>
    </w:p>
    <w:p w:rsidR="007F3EC7" w:rsidRPr="00E71E73" w:rsidRDefault="007F3EC7" w:rsidP="00637DEC">
      <w:pPr>
        <w:pStyle w:val="Sinespaciado"/>
        <w:spacing w:line="360" w:lineRule="auto"/>
        <w:jc w:val="both"/>
        <w:rPr>
          <w:rFonts w:ascii="Palatino Linotype" w:hAnsi="Palatino Linotype" w:cs="Arial"/>
        </w:rPr>
      </w:pPr>
      <w:r w:rsidRPr="00B97201">
        <w:rPr>
          <w:rFonts w:ascii="Palatino Linotype" w:hAnsi="Palatino Linotype" w:cs="Arial"/>
        </w:rPr>
        <w:t xml:space="preserve">Aclarado lo anterior, se debe precisar que, con la entrega del tabulador de sueldos se colma el </w:t>
      </w:r>
      <w:r>
        <w:rPr>
          <w:rFonts w:ascii="Palatino Linotype" w:hAnsi="Palatino Linotype" w:cs="Arial"/>
        </w:rPr>
        <w:t xml:space="preserve">derecho de acceso a la información de la </w:t>
      </w:r>
      <w:r>
        <w:rPr>
          <w:rFonts w:ascii="Palatino Linotype" w:hAnsi="Palatino Linotype" w:cs="Arial"/>
          <w:b/>
        </w:rPr>
        <w:t>recurrente</w:t>
      </w:r>
      <w:r w:rsidRPr="00B97201">
        <w:rPr>
          <w:rFonts w:ascii="Palatino Linotype" w:hAnsi="Palatino Linotype" w:cs="Arial"/>
        </w:rPr>
        <w:t>, ya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174B4A" w:rsidRDefault="00174B4A" w:rsidP="00637DEC">
      <w:pPr>
        <w:spacing w:after="0" w:line="360" w:lineRule="auto"/>
        <w:jc w:val="both"/>
        <w:rPr>
          <w:rFonts w:ascii="Palatino Linotype" w:hAnsi="Palatino Linotype"/>
          <w:sz w:val="24"/>
          <w:szCs w:val="24"/>
        </w:rPr>
      </w:pPr>
    </w:p>
    <w:p w:rsidR="00637DEC" w:rsidRDefault="00637DEC" w:rsidP="00637DEC">
      <w:pPr>
        <w:spacing w:after="0" w:line="360" w:lineRule="auto"/>
        <w:jc w:val="both"/>
        <w:rPr>
          <w:rFonts w:ascii="Palatino Linotype" w:hAnsi="Palatino Linotype"/>
          <w:sz w:val="24"/>
          <w:szCs w:val="24"/>
        </w:rPr>
      </w:pPr>
    </w:p>
    <w:p w:rsidR="000529F8" w:rsidRDefault="000529F8" w:rsidP="00637DEC">
      <w:pPr>
        <w:pStyle w:val="Sinespaciado"/>
        <w:spacing w:line="360" w:lineRule="auto"/>
        <w:ind w:right="-3"/>
        <w:jc w:val="both"/>
        <w:rPr>
          <w:rFonts w:ascii="Palatino Linotype" w:hAnsi="Palatino Linotype" w:cs="Arial"/>
        </w:rPr>
      </w:pPr>
      <w:r>
        <w:rPr>
          <w:rFonts w:ascii="Palatino Linotype" w:hAnsi="Palatino Linotype" w:cs="Arial"/>
        </w:rPr>
        <w:lastRenderedPageBreak/>
        <w:t xml:space="preserve">De todo lo anteriormente expuesto y fundado, la suscrita no comparte el sentido en que se resolvió, toda vez que </w:t>
      </w:r>
      <w:r w:rsidR="007F3EC7">
        <w:rPr>
          <w:rFonts w:ascii="Palatino Linotype" w:hAnsi="Palatino Linotype" w:cs="Arial"/>
        </w:rPr>
        <w:t xml:space="preserve">se hace vulnerables e identificables a los servidores públicos que integran la Policía Municipal de Ixtapaluca, para que personas con malas intenciones </w:t>
      </w:r>
      <w:r w:rsidR="00637DEC">
        <w:rPr>
          <w:rFonts w:ascii="Palatino Linotype" w:hAnsi="Palatino Linotype" w:cs="Arial"/>
        </w:rPr>
        <w:t xml:space="preserve">puedan hacer mal uso de la información que se ordena su entrega. </w:t>
      </w:r>
    </w:p>
    <w:p w:rsidR="000529F8" w:rsidRDefault="000529F8" w:rsidP="00637DEC">
      <w:pPr>
        <w:pStyle w:val="Sinespaciado"/>
        <w:spacing w:line="360" w:lineRule="auto"/>
        <w:ind w:right="-3"/>
        <w:jc w:val="both"/>
        <w:rPr>
          <w:rFonts w:ascii="Palatino Linotype" w:hAnsi="Palatino Linotype" w:cs="Arial"/>
          <w:sz w:val="16"/>
          <w:szCs w:val="16"/>
        </w:rPr>
      </w:pPr>
    </w:p>
    <w:p w:rsidR="000529F8" w:rsidRDefault="000529F8" w:rsidP="00637DEC">
      <w:pPr>
        <w:pStyle w:val="Sinespaciado"/>
        <w:spacing w:line="360" w:lineRule="auto"/>
        <w:ind w:right="-3"/>
        <w:jc w:val="both"/>
        <w:rPr>
          <w:rFonts w:ascii="Palatino Linotype" w:hAnsi="Palatino Linotype" w:cs="Arial"/>
          <w:sz w:val="16"/>
          <w:szCs w:val="16"/>
        </w:rPr>
      </w:pPr>
    </w:p>
    <w:p w:rsidR="00637DEC" w:rsidRDefault="00637DEC" w:rsidP="00637DEC">
      <w:pPr>
        <w:pStyle w:val="Sinespaciado"/>
        <w:spacing w:line="360" w:lineRule="auto"/>
        <w:ind w:right="-3"/>
        <w:jc w:val="both"/>
        <w:rPr>
          <w:rFonts w:ascii="Palatino Linotype" w:hAnsi="Palatino Linotype" w:cs="Arial"/>
          <w:sz w:val="16"/>
          <w:szCs w:val="16"/>
        </w:rPr>
      </w:pPr>
    </w:p>
    <w:p w:rsidR="00637DEC" w:rsidRDefault="00637DEC" w:rsidP="00637DEC">
      <w:pPr>
        <w:pStyle w:val="Sinespaciado"/>
        <w:spacing w:line="360" w:lineRule="auto"/>
        <w:ind w:right="-3"/>
        <w:jc w:val="both"/>
        <w:rPr>
          <w:rFonts w:ascii="Palatino Linotype" w:hAnsi="Palatino Linotype" w:cs="Arial"/>
          <w:sz w:val="16"/>
          <w:szCs w:val="16"/>
        </w:rPr>
      </w:pPr>
    </w:p>
    <w:p w:rsidR="00637DEC" w:rsidRPr="00AC5985" w:rsidRDefault="00637DEC" w:rsidP="00637DEC">
      <w:pPr>
        <w:pStyle w:val="Sinespaciado"/>
        <w:spacing w:line="360" w:lineRule="auto"/>
        <w:ind w:right="-3"/>
        <w:jc w:val="both"/>
        <w:rPr>
          <w:rFonts w:ascii="Palatino Linotype" w:hAnsi="Palatino Linotype" w:cs="Arial"/>
          <w:sz w:val="16"/>
          <w:szCs w:val="16"/>
        </w:rPr>
      </w:pPr>
    </w:p>
    <w:p w:rsidR="000529F8" w:rsidRPr="003F3117" w:rsidRDefault="000529F8" w:rsidP="00637DEC">
      <w:pPr>
        <w:spacing w:after="0"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0529F8" w:rsidRDefault="000529F8" w:rsidP="00637DEC">
      <w:pPr>
        <w:spacing w:after="0" w:line="360" w:lineRule="auto"/>
        <w:jc w:val="center"/>
        <w:rPr>
          <w:rFonts w:ascii="Palatino Linotype" w:hAnsi="Palatino Linotype"/>
          <w:b/>
          <w:sz w:val="24"/>
          <w:szCs w:val="24"/>
        </w:rPr>
      </w:pPr>
      <w:r>
        <w:rPr>
          <w:rFonts w:ascii="Palatino Linotype" w:hAnsi="Palatino Linotype"/>
          <w:b/>
          <w:sz w:val="24"/>
          <w:szCs w:val="24"/>
        </w:rPr>
        <w:t>Comisionada Presidenta</w:t>
      </w:r>
    </w:p>
    <w:p w:rsidR="00585878" w:rsidRDefault="00585878" w:rsidP="00637DEC">
      <w:pPr>
        <w:spacing w:after="0" w:line="360" w:lineRule="auto"/>
        <w:jc w:val="center"/>
        <w:rPr>
          <w:rFonts w:ascii="Palatino Linotype" w:hAnsi="Palatino Linotype"/>
          <w:b/>
          <w:sz w:val="24"/>
          <w:szCs w:val="24"/>
        </w:rPr>
      </w:pPr>
      <w:r>
        <w:rPr>
          <w:rFonts w:ascii="Palatino Linotype" w:hAnsi="Palatino Linotype"/>
          <w:b/>
          <w:sz w:val="24"/>
          <w:szCs w:val="24"/>
        </w:rPr>
        <w:t>(Rúbrica)</w:t>
      </w:r>
    </w:p>
    <w:p w:rsidR="006B7018" w:rsidRDefault="006B7018" w:rsidP="00637DEC">
      <w:pPr>
        <w:spacing w:after="0" w:line="360" w:lineRule="auto"/>
        <w:jc w:val="center"/>
        <w:rPr>
          <w:rFonts w:ascii="Palatino Linotype" w:hAnsi="Palatino Linotype"/>
          <w:b/>
          <w:sz w:val="24"/>
          <w:szCs w:val="24"/>
        </w:rPr>
      </w:pPr>
    </w:p>
    <w:p w:rsidR="000529F8" w:rsidRDefault="000529F8" w:rsidP="00637DEC">
      <w:pPr>
        <w:spacing w:after="0" w:line="360" w:lineRule="auto"/>
        <w:jc w:val="both"/>
        <w:rPr>
          <w:rFonts w:ascii="Palatino Linotype" w:hAnsi="Palatino Linotype"/>
          <w:sz w:val="12"/>
          <w:szCs w:val="12"/>
        </w:rPr>
      </w:pPr>
    </w:p>
    <w:p w:rsidR="000529F8" w:rsidRPr="00B71EFC" w:rsidRDefault="000529F8" w:rsidP="00637DEC">
      <w:pPr>
        <w:spacing w:after="0" w:line="360" w:lineRule="auto"/>
        <w:jc w:val="both"/>
        <w:rPr>
          <w:rFonts w:ascii="Palatino Linotype" w:hAnsi="Palatino Linotype"/>
          <w:sz w:val="12"/>
          <w:szCs w:val="12"/>
        </w:rPr>
      </w:pPr>
      <w:r>
        <w:rPr>
          <w:rFonts w:ascii="Palatino Linotype" w:hAnsi="Palatino Linotype"/>
          <w:sz w:val="12"/>
          <w:szCs w:val="12"/>
        </w:rPr>
        <w:t>OSAM/HAP</w:t>
      </w:r>
    </w:p>
    <w:p w:rsidR="002A5ADD" w:rsidRDefault="002A5ADD" w:rsidP="00637DEC">
      <w:pPr>
        <w:spacing w:after="0" w:line="360" w:lineRule="auto"/>
      </w:pPr>
    </w:p>
    <w:sectPr w:rsidR="002A5ADD" w:rsidSect="00DD7AD0">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1D" w:rsidRDefault="00691F1D" w:rsidP="000529F8">
      <w:pPr>
        <w:spacing w:after="0" w:line="240" w:lineRule="auto"/>
      </w:pPr>
      <w:r>
        <w:separator/>
      </w:r>
    </w:p>
  </w:endnote>
  <w:endnote w:type="continuationSeparator" w:id="0">
    <w:p w:rsidR="00691F1D" w:rsidRDefault="00691F1D" w:rsidP="0005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986599" w:rsidRDefault="00EE7CCD" w:rsidP="00DD7AD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52E7">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52E7">
      <w:rPr>
        <w:rFonts w:ascii="Arial" w:hAnsi="Arial" w:cs="Arial"/>
        <w:b/>
        <w:bCs/>
        <w:noProof/>
        <w:sz w:val="20"/>
        <w:szCs w:val="20"/>
      </w:rPr>
      <w:t>8</w:t>
    </w:r>
    <w:r w:rsidRPr="00986599">
      <w:rPr>
        <w:rFonts w:ascii="Arial" w:hAnsi="Arial" w:cs="Arial"/>
        <w:b/>
        <w:bCs/>
        <w:sz w:val="20"/>
        <w:szCs w:val="20"/>
      </w:rPr>
      <w:fldChar w:fldCharType="end"/>
    </w:r>
  </w:p>
  <w:p w:rsidR="00DD7AD0" w:rsidRDefault="00691F1D"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1D" w:rsidRDefault="00691F1D" w:rsidP="000529F8">
      <w:pPr>
        <w:spacing w:after="0" w:line="240" w:lineRule="auto"/>
      </w:pPr>
      <w:r>
        <w:separator/>
      </w:r>
    </w:p>
  </w:footnote>
  <w:footnote w:type="continuationSeparator" w:id="0">
    <w:p w:rsidR="00691F1D" w:rsidRDefault="00691F1D" w:rsidP="000529F8">
      <w:pPr>
        <w:spacing w:after="0" w:line="240" w:lineRule="auto"/>
      </w:pPr>
      <w:r>
        <w:continuationSeparator/>
      </w:r>
    </w:p>
  </w:footnote>
  <w:footnote w:id="1">
    <w:p w:rsidR="0026288E" w:rsidRPr="00637DEC" w:rsidRDefault="0026288E" w:rsidP="0026288E">
      <w:pPr>
        <w:pStyle w:val="Textonotapie"/>
        <w:jc w:val="both"/>
        <w:rPr>
          <w:rFonts w:ascii="Palatino Linotype" w:hAnsi="Palatino Linotype"/>
          <w:i/>
          <w:sz w:val="22"/>
        </w:rPr>
      </w:pPr>
      <w:r w:rsidRPr="00637DEC">
        <w:rPr>
          <w:rStyle w:val="Refdenotaalpie"/>
          <w:rFonts w:ascii="Palatino Linotype" w:hAnsi="Palatino Linotype"/>
          <w:sz w:val="22"/>
        </w:rPr>
        <w:footnoteRef/>
      </w:r>
      <w:r w:rsidRPr="00637DEC">
        <w:rPr>
          <w:rFonts w:ascii="Palatino Linotype" w:hAnsi="Palatino Linotype"/>
          <w:sz w:val="22"/>
        </w:rPr>
        <w:t xml:space="preserve"> </w:t>
      </w:r>
      <w:r w:rsidRPr="00637DEC">
        <w:rPr>
          <w:rFonts w:ascii="Palatino Linotype" w:hAnsi="Palatino Linotype"/>
          <w:b/>
          <w:i/>
          <w:sz w:val="22"/>
        </w:rPr>
        <w:t>Artículo 12.</w:t>
      </w:r>
      <w:r w:rsidRPr="00637DE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7102D6" w:rsidRPr="00637DEC" w:rsidRDefault="007102D6" w:rsidP="0026288E">
      <w:pPr>
        <w:pStyle w:val="Textonotapie"/>
        <w:jc w:val="both"/>
        <w:rPr>
          <w:rFonts w:ascii="Palatino Linotype" w:hAnsi="Palatino Linotype"/>
          <w:i/>
          <w:sz w:val="22"/>
        </w:rPr>
      </w:pPr>
    </w:p>
    <w:p w:rsidR="0026288E" w:rsidRPr="00637DEC" w:rsidRDefault="0026288E" w:rsidP="0026288E">
      <w:pPr>
        <w:pStyle w:val="Textonotapie"/>
        <w:jc w:val="both"/>
        <w:rPr>
          <w:sz w:val="22"/>
        </w:rPr>
      </w:pPr>
      <w:r w:rsidRPr="00637DEC">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sidR="007102D6" w:rsidRPr="00637DEC">
        <w:rPr>
          <w:rFonts w:ascii="Palatino Linotype" w:hAnsi="Palatino Linotype"/>
          <w:i/>
          <w:sz w:val="22"/>
        </w:rPr>
        <w:t>os o practicar investigaciones.</w:t>
      </w:r>
    </w:p>
  </w:footnote>
  <w:footnote w:id="2">
    <w:p w:rsidR="00AF0402" w:rsidRPr="00637DEC" w:rsidRDefault="00AF0402" w:rsidP="00AF0402">
      <w:pPr>
        <w:pStyle w:val="Textonotapie"/>
        <w:rPr>
          <w:rFonts w:ascii="Palatino Linotype" w:hAnsi="Palatino Linotype"/>
          <w:i/>
          <w:sz w:val="22"/>
        </w:rPr>
      </w:pPr>
      <w:r w:rsidRPr="00637DEC">
        <w:rPr>
          <w:rStyle w:val="Refdenotaalpie"/>
          <w:rFonts w:ascii="Palatino Linotype" w:hAnsi="Palatino Linotype"/>
          <w:i/>
          <w:sz w:val="22"/>
        </w:rPr>
        <w:footnoteRef/>
      </w:r>
      <w:r w:rsidRPr="00637DEC">
        <w:rPr>
          <w:rFonts w:ascii="Palatino Linotype" w:hAnsi="Palatino Linotype"/>
          <w:i/>
          <w:sz w:val="22"/>
        </w:rPr>
        <w:t xml:space="preserve"> </w:t>
      </w:r>
      <w:r w:rsidRPr="00637DEC">
        <w:rPr>
          <w:rFonts w:ascii="Palatino Linotype" w:hAnsi="Palatino Linotype"/>
          <w:b/>
          <w:i/>
          <w:sz w:val="22"/>
        </w:rPr>
        <w:t>Artículo 2</w:t>
      </w:r>
    </w:p>
    <w:p w:rsidR="00AF0402" w:rsidRPr="00637DEC" w:rsidRDefault="00AF0402" w:rsidP="00AF0402">
      <w:pPr>
        <w:pStyle w:val="Textonotapie"/>
        <w:jc w:val="both"/>
        <w:rPr>
          <w:rFonts w:ascii="Palatino Linotype" w:hAnsi="Palatino Linotype"/>
          <w:i/>
          <w:sz w:val="22"/>
        </w:rPr>
      </w:pPr>
      <w:r w:rsidRPr="00637DEC">
        <w:rPr>
          <w:rFonts w:ascii="Palatino Linotype" w:hAnsi="Palatino Linotype"/>
          <w:i/>
          <w:sz w:val="22"/>
        </w:rPr>
        <w:t>…La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EE7CCD">
    <w:pPr>
      <w:pStyle w:val="Encabezado"/>
    </w:pPr>
    <w:r>
      <w:rPr>
        <w:noProof/>
        <w:lang w:val="es-MX" w:eastAsia="es-MX"/>
      </w:rPr>
      <mc:AlternateContent>
        <mc:Choice Requires="wps">
          <w:drawing>
            <wp:anchor distT="0" distB="0" distL="114300" distR="114300" simplePos="0" relativeHeight="251656704" behindDoc="1" locked="0" layoutInCell="0" allowOverlap="1" wp14:anchorId="42CC4274" wp14:editId="311E419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EE7CCD"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CC4274"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EE7CCD"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691F1D"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3.45pt;height:85.8pt;rotation:315;z-index:-251657728;mso-position-horizontal:center;mso-position-horizontal-relative:margin;mso-position-vertical:center;mso-position-vertical-relative:margin" o:allowincell="f" fillcolor="#823b0b [1605]" stroked="f">
              <v:fill opacity=".5"/>
              <v:textpath style="font-family:&quot;Palatino Linotype&quot;;font-size:1pt" string="VOTO DISIDENTE"/>
              <w10:wrap anchorx="margin" anchory="margin"/>
            </v:shape>
          </w:pict>
        </w:r>
      </w:sdtContent>
    </w:sdt>
    <w:r w:rsidR="00EE7CCD">
      <w:rPr>
        <w:noProof/>
        <w:lang w:val="es-MX" w:eastAsia="es-MX"/>
      </w:rPr>
      <w:drawing>
        <wp:anchor distT="0" distB="0" distL="114300" distR="114300" simplePos="0" relativeHeight="251657728" behindDoc="1" locked="0" layoutInCell="1" allowOverlap="1" wp14:anchorId="70C73BCF" wp14:editId="264E5B01">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D7AD0" w:rsidRDefault="00691F1D" w:rsidP="00DD7AD0">
    <w:pPr>
      <w:pStyle w:val="Encabezado"/>
      <w:jc w:val="right"/>
      <w:rPr>
        <w:rFonts w:ascii="Arial" w:hAnsi="Arial" w:cs="Arial"/>
        <w:sz w:val="20"/>
        <w:szCs w:val="20"/>
      </w:rPr>
    </w:pPr>
  </w:p>
  <w:p w:rsidR="00DD7AD0" w:rsidRDefault="00691F1D" w:rsidP="00DD7AD0">
    <w:pPr>
      <w:pStyle w:val="Encabezado"/>
      <w:jc w:val="right"/>
      <w:rPr>
        <w:rFonts w:ascii="Arial" w:hAnsi="Arial" w:cs="Arial"/>
        <w:sz w:val="20"/>
        <w:szCs w:val="20"/>
      </w:rPr>
    </w:pPr>
  </w:p>
  <w:p w:rsidR="00DD7AD0" w:rsidRDefault="00EE7CCD" w:rsidP="00DD7AD0">
    <w:pPr>
      <w:pStyle w:val="Encabezado"/>
      <w:jc w:val="right"/>
      <w:rPr>
        <w:rFonts w:ascii="Palatino Linotype" w:hAnsi="Palatino Linotype" w:cs="Arial"/>
        <w:b/>
        <w:sz w:val="20"/>
        <w:szCs w:val="20"/>
      </w:rPr>
    </w:pPr>
    <w:r>
      <w:rPr>
        <w:rFonts w:ascii="Palatino Linotype" w:hAnsi="Palatino Linotype" w:cs="Arial"/>
        <w:b/>
        <w:sz w:val="20"/>
        <w:szCs w:val="20"/>
      </w:rPr>
      <w:t>VOTO DISIDENTE</w:t>
    </w:r>
  </w:p>
  <w:p w:rsidR="0062074D" w:rsidRPr="0003247D" w:rsidRDefault="00691F1D" w:rsidP="00DD7AD0">
    <w:pPr>
      <w:pStyle w:val="Encabezado"/>
      <w:jc w:val="right"/>
      <w:rPr>
        <w:rFonts w:ascii="Palatino Linotype" w:hAnsi="Palatino Linotype" w:cs="Arial"/>
        <w:b/>
        <w:sz w:val="20"/>
        <w:szCs w:val="20"/>
      </w:rPr>
    </w:pPr>
  </w:p>
  <w:p w:rsidR="00DD7AD0" w:rsidRDefault="00EE7CCD" w:rsidP="00DD7AD0">
    <w:pPr>
      <w:pStyle w:val="Encabezado"/>
      <w:jc w:val="right"/>
      <w:rPr>
        <w:rFonts w:ascii="Palatino Linotype" w:hAnsi="Palatino Linotype" w:cs="Arial"/>
        <w:b/>
        <w:bCs/>
        <w:sz w:val="20"/>
        <w:szCs w:val="20"/>
        <w:lang w:eastAsia="es-MX"/>
      </w:rPr>
    </w:pPr>
    <w:r w:rsidRPr="0003247D">
      <w:rPr>
        <w:rFonts w:ascii="Palatino Linotype" w:hAnsi="Palatino Linotype" w:cs="Arial"/>
        <w:b/>
        <w:sz w:val="20"/>
        <w:szCs w:val="20"/>
      </w:rPr>
      <w:t xml:space="preserve">RECURSO DE REVISIÓN </w:t>
    </w:r>
    <w:r w:rsidRPr="0003247D">
      <w:rPr>
        <w:rFonts w:ascii="Palatino Linotype" w:hAnsi="Palatino Linotype" w:cs="Arial"/>
        <w:b/>
        <w:bCs/>
        <w:sz w:val="20"/>
        <w:szCs w:val="20"/>
        <w:lang w:eastAsia="es-MX"/>
      </w:rPr>
      <w:t>0</w:t>
    </w:r>
    <w:r w:rsidR="000529F8">
      <w:rPr>
        <w:rFonts w:ascii="Palatino Linotype" w:hAnsi="Palatino Linotype" w:cs="Arial"/>
        <w:b/>
        <w:bCs/>
        <w:sz w:val="20"/>
        <w:szCs w:val="20"/>
        <w:lang w:eastAsia="es-MX"/>
      </w:rPr>
      <w:t>2339</w:t>
    </w:r>
    <w:r>
      <w:rPr>
        <w:rFonts w:ascii="Palatino Linotype" w:hAnsi="Palatino Linotype" w:cs="Arial"/>
        <w:b/>
        <w:bCs/>
        <w:sz w:val="20"/>
        <w:szCs w:val="20"/>
        <w:lang w:eastAsia="es-MX"/>
      </w:rPr>
      <w:t>/INFOEM/IP/RR/2018</w:t>
    </w:r>
  </w:p>
  <w:p w:rsidR="002902DB" w:rsidRPr="00637DEC" w:rsidRDefault="00691F1D" w:rsidP="00DD7AD0">
    <w:pPr>
      <w:pStyle w:val="Encabezado"/>
      <w:jc w:val="right"/>
      <w:rPr>
        <w:rFonts w:ascii="Palatino Linotype" w:hAnsi="Palatino Linotype" w:cs="Arial"/>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0D4"/>
    <w:multiLevelType w:val="hybridMultilevel"/>
    <w:tmpl w:val="90CC7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924511"/>
    <w:multiLevelType w:val="hybridMultilevel"/>
    <w:tmpl w:val="A8C2A1C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F8"/>
    <w:rsid w:val="0003774C"/>
    <w:rsid w:val="000529F8"/>
    <w:rsid w:val="00081F44"/>
    <w:rsid w:val="00174B4A"/>
    <w:rsid w:val="0018688A"/>
    <w:rsid w:val="001D69FF"/>
    <w:rsid w:val="001F334F"/>
    <w:rsid w:val="00201DA0"/>
    <w:rsid w:val="0026288E"/>
    <w:rsid w:val="00274A5F"/>
    <w:rsid w:val="002A5ADD"/>
    <w:rsid w:val="003F6D2D"/>
    <w:rsid w:val="00417D6F"/>
    <w:rsid w:val="00585878"/>
    <w:rsid w:val="00637DEC"/>
    <w:rsid w:val="00691F1D"/>
    <w:rsid w:val="006B7018"/>
    <w:rsid w:val="007102D6"/>
    <w:rsid w:val="00766AF7"/>
    <w:rsid w:val="007F3EC7"/>
    <w:rsid w:val="00990D10"/>
    <w:rsid w:val="00A552E7"/>
    <w:rsid w:val="00AF0402"/>
    <w:rsid w:val="00BD01DE"/>
    <w:rsid w:val="00C141DB"/>
    <w:rsid w:val="00C615AA"/>
    <w:rsid w:val="00DA06A1"/>
    <w:rsid w:val="00DF667C"/>
    <w:rsid w:val="00EE7CCD"/>
    <w:rsid w:val="00F15DF4"/>
    <w:rsid w:val="00FA69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A465C7-B63C-4A2E-A8D7-2570FF7C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9F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29F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529F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529F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529F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529F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0529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529F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529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29F8"/>
    <w:rPr>
      <w:sz w:val="20"/>
      <w:szCs w:val="20"/>
    </w:rPr>
  </w:style>
  <w:style w:type="character" w:styleId="Refdenotaalpie">
    <w:name w:val="footnote reference"/>
    <w:basedOn w:val="Fuentedeprrafopredeter"/>
    <w:uiPriority w:val="99"/>
    <w:semiHidden/>
    <w:unhideWhenUsed/>
    <w:rsid w:val="000529F8"/>
    <w:rPr>
      <w:vertAlign w:val="superscript"/>
    </w:rPr>
  </w:style>
  <w:style w:type="paragraph" w:styleId="Prrafodelista">
    <w:name w:val="List Paragraph"/>
    <w:basedOn w:val="Normal"/>
    <w:link w:val="PrrafodelistaCar"/>
    <w:uiPriority w:val="72"/>
    <w:qFormat/>
    <w:rsid w:val="000529F8"/>
    <w:pPr>
      <w:spacing w:line="259" w:lineRule="auto"/>
      <w:ind w:left="720"/>
      <w:contextualSpacing/>
    </w:pPr>
  </w:style>
  <w:style w:type="character" w:styleId="Hipervnculo">
    <w:name w:val="Hyperlink"/>
    <w:basedOn w:val="Fuentedeprrafopredeter"/>
    <w:uiPriority w:val="99"/>
    <w:unhideWhenUsed/>
    <w:rsid w:val="000529F8"/>
    <w:rPr>
      <w:color w:val="0563C1" w:themeColor="hyperlink"/>
      <w:u w:val="single"/>
    </w:rPr>
  </w:style>
  <w:style w:type="character" w:customStyle="1" w:styleId="PrrafodelistaCar">
    <w:name w:val="Párrafo de lista Car"/>
    <w:link w:val="Prrafodelista"/>
    <w:uiPriority w:val="72"/>
    <w:qFormat/>
    <w:locked/>
    <w:rsid w:val="000529F8"/>
  </w:style>
  <w:style w:type="paragraph" w:styleId="Textodeglobo">
    <w:name w:val="Balloon Text"/>
    <w:basedOn w:val="Normal"/>
    <w:link w:val="TextodegloboCar"/>
    <w:uiPriority w:val="99"/>
    <w:semiHidden/>
    <w:unhideWhenUsed/>
    <w:rsid w:val="006B7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1259</Words>
  <Characters>6926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2018-08-20T22:12:00Z</cp:lastPrinted>
  <dcterms:created xsi:type="dcterms:W3CDTF">2018-08-17T15:13:00Z</dcterms:created>
  <dcterms:modified xsi:type="dcterms:W3CDTF">2018-08-20T23:12:00Z</dcterms:modified>
</cp:coreProperties>
</file>